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EA4A2">
      <w:pPr>
        <w:jc w:val="center"/>
        <w:rPr>
          <w:rFonts w:hint="eastAsia" w:asciiTheme="minorEastAsia" w:hAnsiTheme="minorEastAsia" w:cstheme="minorEastAsia"/>
          <w:sz w:val="44"/>
          <w:szCs w:val="44"/>
        </w:rPr>
      </w:pPr>
    </w:p>
    <w:p w14:paraId="38F1B4FD">
      <w:pPr>
        <w:rPr>
          <w:rFonts w:asciiTheme="minorEastAsia" w:hAnsiTheme="minorEastAsia" w:cstheme="minorEastAsia"/>
          <w:sz w:val="44"/>
          <w:szCs w:val="44"/>
        </w:rPr>
      </w:pPr>
    </w:p>
    <w:p w14:paraId="46089C76">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经营性公路建设项目投资人招标投标管理规定</w:t>
      </w:r>
    </w:p>
    <w:p w14:paraId="4529C9B0">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（2007年10月16日交通部令第8号公布 根据2015年6月24日交通运输部《关于修改〈经营性公路建设项目投资人招标投标管理规定〉的决定》修正）</w:t>
      </w:r>
    </w:p>
    <w:p w14:paraId="0E473CB7">
      <w:pPr>
        <w:rPr>
          <w:rFonts w:ascii="宋体" w:hAnsi="宋体" w:eastAsia="黑体" w:cs="宋体"/>
          <w:color w:val="333333"/>
          <w:sz w:val="32"/>
          <w:szCs w:val="36"/>
          <w:shd w:val="clear" w:color="auto" w:fill="FFFFFF"/>
        </w:rPr>
      </w:pPr>
    </w:p>
    <w:p w14:paraId="51B1DF53">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14:paraId="345942A7">
      <w:pPr>
        <w:ind w:firstLine="640" w:firstLineChars="200"/>
        <w:rPr>
          <w:rFonts w:ascii="仿宋_GB2312" w:hAnsi="仿宋_GB2312" w:eastAsia="黑体" w:cs="仿宋_GB2312"/>
          <w:color w:val="333333"/>
          <w:sz w:val="32"/>
          <w:szCs w:val="32"/>
          <w:shd w:val="clear" w:color="auto" w:fill="FFFFFF"/>
        </w:rPr>
      </w:pPr>
      <w:bookmarkStart w:id="0" w:name="_GoBack"/>
      <w:bookmarkEnd w:id="0"/>
    </w:p>
    <w:p w14:paraId="5172635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为规范经营性公路建设项目投资人招标投标活动，根据《中华人民共和国公路法》、《中华人民共和国招标投标法》和《收费公路管理条例》，制定本规定。</w:t>
      </w:r>
    </w:p>
    <w:p w14:paraId="0B4C466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在中华人民共和国境内的经营性公路建设项目投资人招标投标活动，适用本规定。</w:t>
      </w:r>
    </w:p>
    <w:p w14:paraId="3F80614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本规定所称经营性公路是指符合《收费公路管理条例》的规定，由国内外经济组织投资建设，经批准依法收取车辆通行费的公路（含桥梁和隧道）。</w:t>
      </w:r>
    </w:p>
    <w:p w14:paraId="540DAD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经营性公路建设项目投资人招标投标活动应当遵循公开、公平、公正、诚信、择优的原则。</w:t>
      </w:r>
    </w:p>
    <w:p w14:paraId="73682A5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任何单位和个人不得非法干涉招标投标活动。</w:t>
      </w:r>
    </w:p>
    <w:p w14:paraId="24758AD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国务院交通主管部门负责全国经营性公路建设项目投资人招标投标活动的监督管理工作。主要职责是：</w:t>
      </w:r>
    </w:p>
    <w:p w14:paraId="7D01028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（一）根据有关法律、行政法规，制定相关规章和制度，规范和指导全国经营性公路建设项目投资人招标投标活动；</w:t>
      </w:r>
    </w:p>
    <w:p w14:paraId="00E2FEF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（二）监督全国经营性公路建设项目投资人招标投标活动，依法受理举报和投诉，查处招标投标活动中的违法行为；</w:t>
      </w:r>
    </w:p>
    <w:p w14:paraId="019A0E6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（三）对全国经营性公路建设项目投资人进行动态管理，定期公布投资人信用情况。</w:t>
      </w:r>
    </w:p>
    <w:p w14:paraId="4C291E4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省级人民政府交通主管部门负责本行政区域内经营性公路建设项目投资人招标投标活动的监督管理工作。主要职责是：</w:t>
      </w:r>
    </w:p>
    <w:p w14:paraId="56BAC1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（一）贯彻执行有关法律、行政法规、规章，结合本行政区域内的实际情况，制定具体管理制度；</w:t>
      </w:r>
    </w:p>
    <w:p w14:paraId="48672AC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（二）确定下级人民政府交通主管部门对经营性公路建设项目投资人招标投标活动的监督管理职责；</w:t>
      </w:r>
    </w:p>
    <w:p w14:paraId="2CC2D7B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（三）发布本行政区域内经营性公路建设项目投资人招标信息；</w:t>
      </w:r>
    </w:p>
    <w:p w14:paraId="41349BB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（四）负责组织对列入国家高速公路网规划和省级人民政府确定的重点经营性公路建设项目的投资人招标工作；</w:t>
      </w:r>
    </w:p>
    <w:p w14:paraId="6311C13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（五）指导和监督本行政区域内的经营性公路建设项目投资人招标投标活动，依法受理举报和投诉，查处招标投标活动中的违法行为。</w:t>
      </w:r>
    </w:p>
    <w:p w14:paraId="643D4C8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省级以下人民政府交通主管部门的主要职责是：</w:t>
      </w:r>
    </w:p>
    <w:p w14:paraId="5675C93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（一）贯彻执行有关法律、行政法规、规章和相关制度；</w:t>
      </w:r>
    </w:p>
    <w:p w14:paraId="3686169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（二）负责组织本行政区域内除第五条第（四）项规定以外的经营性公路建设项目投资人招标工作；</w:t>
      </w:r>
    </w:p>
    <w:p w14:paraId="28C34DA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（三）按照省级人民政府交通主管部门的规定，对本行政区域内的经营性公路建设项目投资人招标投标活动进行监督管理。</w:t>
      </w:r>
    </w:p>
    <w:p w14:paraId="32C1C6FF">
      <w:pPr>
        <w:ind w:firstLine="640" w:firstLineChars="200"/>
        <w:rPr>
          <w:rFonts w:ascii="仿宋_GB2312" w:hAnsi="仿宋_GB2312" w:eastAsia="黑体" w:cs="仿宋_GB2312"/>
          <w:color w:val="333333"/>
          <w:sz w:val="32"/>
          <w:szCs w:val="32"/>
          <w:shd w:val="clear" w:color="auto" w:fill="FFFFFF"/>
        </w:rPr>
      </w:pPr>
    </w:p>
    <w:p w14:paraId="796FC4AE">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招标</w:t>
      </w:r>
    </w:p>
    <w:p w14:paraId="7BA3D125">
      <w:pPr>
        <w:ind w:firstLine="640" w:firstLineChars="200"/>
        <w:rPr>
          <w:rFonts w:ascii="仿宋_GB2312" w:hAnsi="仿宋_GB2312" w:eastAsia="黑体" w:cs="仿宋_GB2312"/>
          <w:color w:val="333333"/>
          <w:sz w:val="32"/>
          <w:szCs w:val="32"/>
          <w:shd w:val="clear" w:color="auto" w:fill="FFFFFF"/>
        </w:rPr>
      </w:pPr>
    </w:p>
    <w:p w14:paraId="14529D3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需要进行投资人招标的经营性公路建设项目应当符合下列条件：</w:t>
      </w:r>
    </w:p>
    <w:p w14:paraId="0274AB3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（一）符合国家和省、自治区、直辖市公路发展规划；</w:t>
      </w:r>
    </w:p>
    <w:p w14:paraId="678DFF0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（二）符合《收费公路管理条例》第十八条规定的技术等级和规模；</w:t>
      </w:r>
    </w:p>
    <w:p w14:paraId="2A42373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（三）已经编制项目可行性研究报告。</w:t>
      </w:r>
    </w:p>
    <w:p w14:paraId="7C1A5E8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招标人是依照本规定提出经营性公路建设项目、组织投资人招标工作的交通主管部门。</w:t>
      </w:r>
    </w:p>
    <w:p w14:paraId="6791410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招标人可以自行组织招标或委托具有相应资格的招标代理机构代理有关招标事宜。</w:t>
      </w:r>
    </w:p>
    <w:p w14:paraId="0C8FE32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经营性公路建设项目投资人招标应当采用公开招标方式。</w:t>
      </w:r>
    </w:p>
    <w:p w14:paraId="2B8FF86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经营性公路建设项目投资人招标实行资格审查制度。资格审查方式采取资格预审或资格后审。</w:t>
      </w:r>
    </w:p>
    <w:p w14:paraId="7F1150C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资格预审，是指招标人在投标前对潜在投标人进行资格审查。</w:t>
      </w:r>
    </w:p>
    <w:p w14:paraId="321CA08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资格后审，是指招标人在开标后对投标人进行资格审查。</w:t>
      </w:r>
    </w:p>
    <w:p w14:paraId="7790B5D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实行资格预审的，一般不再进行资格后审，但招标文件另有规定的除外。</w:t>
      </w:r>
    </w:p>
    <w:p w14:paraId="554944B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资格审查的基本内容应当包括投标人的财务状况、注册资本、净资产、投融资能力、初步融资方案、从业经验和商业信誉等情况。</w:t>
      </w:r>
    </w:p>
    <w:p w14:paraId="4385A1A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经营性公路建设项目招标工作应当按照以下程序进行：</w:t>
      </w:r>
    </w:p>
    <w:p w14:paraId="754BE79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（一）发布招标公告；</w:t>
      </w:r>
    </w:p>
    <w:p w14:paraId="0F10E2E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（二）潜在投标人提出投资意向；</w:t>
      </w:r>
    </w:p>
    <w:p w14:paraId="4D42113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（三）招标人向提出投资意向的潜在投标人推介投资项目；</w:t>
      </w:r>
    </w:p>
    <w:p w14:paraId="5F8BD7B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（四）潜在投标人提出投资申请；</w:t>
      </w:r>
    </w:p>
    <w:p w14:paraId="558614A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（五）招标人向提出投资申请的潜在投标人详细介绍项目情况，可以组织潜在投标人踏勘项目现场并解答有关问题；</w:t>
      </w:r>
    </w:p>
    <w:p w14:paraId="0EF849A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（六）实行资格预审的，由招标人向提出投资申请的潜在投标人发售资格预审文件；实行资格后审的，由招标人向提出投资申请的投标人发售招标文件；</w:t>
      </w:r>
    </w:p>
    <w:p w14:paraId="69E1B45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（七）实行资格预审的，潜在投标人编制资格预审申请文件，并递交招标人；招标人应当对递交资格预审申请文件的潜在投标人进行资格审查，并向资格预审合格的潜在投标人发售招标文件；</w:t>
      </w:r>
    </w:p>
    <w:p w14:paraId="587E03D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（八）投标人编制投标文件，并提交招标人；</w:t>
      </w:r>
    </w:p>
    <w:p w14:paraId="32734B3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（九）招标人组织开标，组建评标委员会；</w:t>
      </w:r>
    </w:p>
    <w:p w14:paraId="593DB05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（十）实行资格后审的，评标委员会应当在开标后首先对投标人进行资格审查；</w:t>
      </w:r>
    </w:p>
    <w:p w14:paraId="26FCFAE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（十一）评标委员会进行评标，推荐中标候选人；</w:t>
      </w:r>
    </w:p>
    <w:p w14:paraId="2B83439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（十二）招标人确定中标人，并发出中标通知书；</w:t>
      </w:r>
    </w:p>
    <w:p w14:paraId="56C627A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（十三）招标人与中标人签订投资协议。</w:t>
      </w:r>
    </w:p>
    <w:p w14:paraId="050FF0C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招标人应通过国家指定的全国性报刊、信息网络等媒介发布招标公告。</w:t>
      </w:r>
    </w:p>
    <w:p w14:paraId="30F7CEF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采用国际招标的，应通过相关国际媒介发布招标公告。</w:t>
      </w:r>
    </w:p>
    <w:p w14:paraId="08C5958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招标人应当参照国务院交通主管部门制定的经营性公路建设项目投资人招标资格预审文件范本编制资格预审文件，并结合项目特点和需要确定资格审查标准。</w:t>
      </w:r>
    </w:p>
    <w:p w14:paraId="486BFBE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招标人应当组建资格预审委员会对递交资格预审申请文件的潜在投标人进行资格审查。资格预审委员会由招标人代表和公路、财务、金融等方面的专家组成，成员人数为七人以上单数。</w:t>
      </w:r>
    </w:p>
    <w:p w14:paraId="485A0DE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招标人应当参照国务院交通主管部门制定的经营性公路建设项目投资人招标文件范本，并结合项目特点和需要编制招标文件。</w:t>
      </w:r>
    </w:p>
    <w:p w14:paraId="6975A45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编制招标文件时，应当充分考虑项目投资回收能力和预期收益的不确定性，合理分配项目的各类风险，并对特许权内容、最长收费期限、相关政策等予以说明。招标人编制的可行性研究报告应当作为招标文件的组成部分。</w:t>
      </w:r>
    </w:p>
    <w:p w14:paraId="38411CA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招标人应当合理确定资格预审申请文件和投标文件的编制时间。</w:t>
      </w:r>
    </w:p>
    <w:p w14:paraId="690457A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编制资格预审申请文件时间，自资格预审文件开始发售之日起至潜在投标人提交资格预审申请文件截止之日止，不得少于三十个工作日。</w:t>
      </w:r>
    </w:p>
    <w:p w14:paraId="674B381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编制投标文件的时间，自招标文件开始发售之日起至投标人提交投标文件截止之日止，不得少于四十五个工作日。</w:t>
      </w:r>
    </w:p>
    <w:p w14:paraId="37A7EF7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列入国家高速公路网规划和需经国务院投资主管部门核准的经营性公路建设项目投资人招标投标活动，应当按照招标工作程序，及时将招标文件、资格预审结果、评标报告报国务院交通主管部门备案。国务院交通主管部门应当在收到备案文件七个工作日内，对不符合法律、法规规定的内容提出处理意见，及时行使监督职责。</w:t>
      </w:r>
    </w:p>
    <w:p w14:paraId="14C9EB8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其他经营性公路建设项目投资人招标投标活动的备案工作按照省级人民政府交通主管部门的有关规定执行。</w:t>
      </w:r>
    </w:p>
    <w:p w14:paraId="4DB18CE3">
      <w:pPr>
        <w:ind w:firstLine="640" w:firstLineChars="200"/>
        <w:rPr>
          <w:rFonts w:ascii="仿宋_GB2312" w:hAnsi="仿宋_GB2312" w:eastAsia="黑体" w:cs="仿宋_GB2312"/>
          <w:color w:val="333333"/>
          <w:sz w:val="32"/>
          <w:szCs w:val="32"/>
          <w:shd w:val="clear" w:color="auto" w:fill="FFFFFF"/>
        </w:rPr>
      </w:pPr>
    </w:p>
    <w:p w14:paraId="4E0BC86B">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投标</w:t>
      </w:r>
    </w:p>
    <w:p w14:paraId="64ADFC00">
      <w:pPr>
        <w:ind w:firstLine="640" w:firstLineChars="200"/>
        <w:rPr>
          <w:rFonts w:ascii="仿宋_GB2312" w:hAnsi="仿宋_GB2312" w:eastAsia="黑体" w:cs="仿宋_GB2312"/>
          <w:color w:val="333333"/>
          <w:sz w:val="32"/>
          <w:szCs w:val="32"/>
          <w:shd w:val="clear" w:color="auto" w:fill="FFFFFF"/>
        </w:rPr>
      </w:pPr>
    </w:p>
    <w:p w14:paraId="2D1D9F1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投标人是响应招标、参加投标竞争的国内外经济组织。</w:t>
      </w:r>
    </w:p>
    <w:p w14:paraId="14D5790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采用资格预审方式招标的，潜在投标人通过资格预审后，方可参加投标。</w:t>
      </w:r>
    </w:p>
    <w:p w14:paraId="22BD4F6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投标人应当具备以下基本条件：</w:t>
      </w:r>
    </w:p>
    <w:p w14:paraId="492B7A0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（一）总资产六亿元人民币以上，净资产二亿五千万元人民币以上；</w:t>
      </w:r>
    </w:p>
    <w:p w14:paraId="7A2EC31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（二）最近连续三年每年均为盈利，且年度财务报告应当经具有法定资格的中介机构审计；</w:t>
      </w:r>
    </w:p>
    <w:p w14:paraId="63A6462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（三）具有不低于项目估算的投融资能力，其中净资产不低于项目估算投资的百分之三十五；</w:t>
      </w:r>
    </w:p>
    <w:p w14:paraId="5BF51E6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（四）商业信誉良好，无重大违法行为。</w:t>
      </w:r>
    </w:p>
    <w:p w14:paraId="560E0FC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招标人可以根据招标项目的实际情况，提高对投标人的条件要求。</w:t>
      </w:r>
    </w:p>
    <w:p w14:paraId="34009E6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两个以上的国内外经济组织可以组成一个联合体，以一个投标人的身份共同投标。联合体各方均应符合招标人对投标人的资格审查标准。</w:t>
      </w:r>
    </w:p>
    <w:p w14:paraId="2A4B351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以联合体形式参加投标的，应提交联合体各方签订的共同投标协议。共同投标协议应当明确约定联合体各方的出资比例、相互关系、拟承担的工作和责任。联合体中标的，联合体各方应当共同与招标人签订项目投资协议，并向招标人承担连带责任。</w:t>
      </w:r>
    </w:p>
    <w:p w14:paraId="729A064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联合体的控股方为联合体主办人。</w:t>
      </w:r>
    </w:p>
    <w:p w14:paraId="438065E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投标人应当按照招标文件的要求编制投标文件，投标文件应当对招标文件提出的实质性要求和条件作出响应。</w:t>
      </w:r>
    </w:p>
    <w:p w14:paraId="79E8318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招标文件明确要求提交投标担保的，投标人应按照招标文件要求的额度、期限和形式提交投标担保。投标人未按照招标文件的要求提交投标担保的，其提交的投标文件为废标。</w:t>
      </w:r>
    </w:p>
    <w:p w14:paraId="1542066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投标担保的额度一般为项目投资的千分之三，但最高不得超过五百万元人民币。</w:t>
      </w:r>
    </w:p>
    <w:p w14:paraId="04638E7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投标人参加投标，不得弄虚作假，不得与其他投标人串通投标，不得采取商业贿赂以及其他不正当手段谋取中标，不得妨碍其他投标人投标。</w:t>
      </w:r>
    </w:p>
    <w:p w14:paraId="00594BE4">
      <w:pPr>
        <w:ind w:firstLine="640" w:firstLineChars="200"/>
        <w:rPr>
          <w:rFonts w:ascii="仿宋_GB2312" w:hAnsi="仿宋_GB2312" w:eastAsia="黑体" w:cs="仿宋_GB2312"/>
          <w:color w:val="333333"/>
          <w:sz w:val="32"/>
          <w:szCs w:val="32"/>
          <w:shd w:val="clear" w:color="auto" w:fill="FFFFFF"/>
        </w:rPr>
      </w:pPr>
    </w:p>
    <w:p w14:paraId="2F28F339">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开标与评标</w:t>
      </w:r>
    </w:p>
    <w:p w14:paraId="100FA60E">
      <w:pPr>
        <w:ind w:firstLine="640" w:firstLineChars="200"/>
        <w:rPr>
          <w:rFonts w:ascii="仿宋_GB2312" w:hAnsi="仿宋_GB2312" w:eastAsia="黑体" w:cs="仿宋_GB2312"/>
          <w:color w:val="333333"/>
          <w:sz w:val="32"/>
          <w:szCs w:val="32"/>
          <w:shd w:val="clear" w:color="auto" w:fill="FFFFFF"/>
        </w:rPr>
      </w:pPr>
    </w:p>
    <w:p w14:paraId="0CFA1A4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开标应当在招标文件确定的提交投标文件截止时间的同一时间公开进行。</w:t>
      </w:r>
    </w:p>
    <w:p w14:paraId="2A8EE2E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开标由招标人主持，邀请所有投标人代表参加。招标人对开标过程应当记录，并存档备查。</w:t>
      </w:r>
    </w:p>
    <w:p w14:paraId="6E625E7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评标由招标人依法组建的评标委员会负责。评标委员会由招标人代表和公路、财务、金融等方面的专家组成，成员人数为七人以上单数。招标人代表的人数不得超过评标委员会总人数的三分之一。</w:t>
      </w:r>
    </w:p>
    <w:p w14:paraId="44A85F5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与投标人有利害关系以及其他可能影响公正评标的人员不得进入相关项目的评标委员会，已经进入的应当更换。</w:t>
      </w:r>
    </w:p>
    <w:p w14:paraId="603262F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评标委员会成员的名单在中标结果确定前应当保密。</w:t>
      </w:r>
    </w:p>
    <w:p w14:paraId="17DBC07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评标委员会可以直接或者通过招标人以书面方式要求投标人对投标文件中含义不明确、对同类问题表述不一致或者有明显文字错误的内容作出必要的澄清或者说明，但是澄清或者说明不得超出或者改变投标文件的范围或者改变投标文件的实质性内容。</w:t>
      </w:r>
    </w:p>
    <w:p w14:paraId="79F1651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经营性公路建设项目投资人招标的评标办法应当采用综合评估法或者最短收费期限法。</w:t>
      </w:r>
    </w:p>
    <w:p w14:paraId="403B5A0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采用综合评估法的，应当在招标文件中载明对收费期限、融资能力、资金筹措方案、融资经验、项目建设方案、项目运营、移交方案等评价内容的评分权重，根据综合得分由高到低推荐中标候选人。</w:t>
      </w:r>
    </w:p>
    <w:p w14:paraId="7E6585F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采用最短收费期限法的，应当在投标人实质性响应招标文件的前提下，推荐经评审的收费期限最短的投标人为中标候选人，但收费期限不得违反国家有关法规的规定。</w:t>
      </w:r>
    </w:p>
    <w:p w14:paraId="7D07010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xml:space="preserve"> 评标委员会完成评标后，应当向招标人提出书面评标报告，推荐一至三名中标候选人，并标明排名顺序。</w:t>
      </w:r>
    </w:p>
    <w:p w14:paraId="4A34F99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评标报告需要由评标委员会全体成员签字。</w:t>
      </w:r>
    </w:p>
    <w:p w14:paraId="3C4F6874">
      <w:pPr>
        <w:ind w:firstLine="640" w:firstLineChars="200"/>
        <w:rPr>
          <w:rFonts w:ascii="仿宋_GB2312" w:hAnsi="仿宋_GB2312" w:eastAsia="黑体" w:cs="仿宋_GB2312"/>
          <w:color w:val="333333"/>
          <w:sz w:val="32"/>
          <w:szCs w:val="32"/>
          <w:shd w:val="clear" w:color="auto" w:fill="FFFFFF"/>
        </w:rPr>
      </w:pPr>
    </w:p>
    <w:p w14:paraId="6638CDF1">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中标与协议的签订</w:t>
      </w:r>
    </w:p>
    <w:p w14:paraId="7D39C2D8">
      <w:pPr>
        <w:ind w:firstLine="640" w:firstLineChars="200"/>
        <w:rPr>
          <w:rFonts w:ascii="仿宋_GB2312" w:hAnsi="仿宋_GB2312" w:eastAsia="黑体" w:cs="仿宋_GB2312"/>
          <w:color w:val="333333"/>
          <w:sz w:val="32"/>
          <w:szCs w:val="32"/>
          <w:shd w:val="clear" w:color="auto" w:fill="FFFFFF"/>
        </w:rPr>
      </w:pPr>
    </w:p>
    <w:p w14:paraId="6807E15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xml:space="preserve"> 招标人应当确定排名第一的中标候选人为中标人。招标人也可以授权评标委员会直接确定中标人。</w:t>
      </w:r>
    </w:p>
    <w:p w14:paraId="1DEE125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排名第一的中标候选人有下列情形之一的，招标人可以确定排名第二的中标候选人为中标人：</w:t>
      </w:r>
    </w:p>
    <w:p w14:paraId="384D881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（一）自动放弃中标；</w:t>
      </w:r>
    </w:p>
    <w:p w14:paraId="0242D8B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（二）因不可抗力提出不能履行合同；</w:t>
      </w:r>
    </w:p>
    <w:p w14:paraId="1E50A9F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（三）不能按照招标文件要求提交履约保证金；</w:t>
      </w:r>
    </w:p>
    <w:p w14:paraId="7C6BBE0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（四）存在违法行为被有关部门依法查处，且其违法行为影响中标结果的。</w:t>
      </w:r>
    </w:p>
    <w:p w14:paraId="3A6F0C8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如果排名第二的中标候选人存在上述情形之一，招标人可以确定排名第三的中标候选人为中标人。</w:t>
      </w:r>
    </w:p>
    <w:p w14:paraId="1150511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三个中标候选人都存在本条第二款所列情形的，招标人应当依法重新招标。</w:t>
      </w:r>
    </w:p>
    <w:p w14:paraId="252D2AC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招标人不得在评标委员会推荐的中标候选人之外确定中标人。</w:t>
      </w:r>
    </w:p>
    <w:p w14:paraId="285B2B1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xml:space="preserve"> 提交投标文件的投标人少于三个或者因其他原因导致招标失败的，招标人应当依法重新招标。重新招标前，应当根据前次的招标情况，对招标文件进行适当调整。</w:t>
      </w:r>
    </w:p>
    <w:p w14:paraId="01DCEE2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xml:space="preserve"> 招标人确定中标人后，应当在十五个工作日内向中标人发出中标通知书，同时通知所有未中标的投标人。</w:t>
      </w:r>
    </w:p>
    <w:p w14:paraId="2BE0629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xml:space="preserve"> 招标文件要求中标人提供履约担保的，中标人应当提供。担保的金额一般为项目资本金出资额的百分之十。</w:t>
      </w:r>
    </w:p>
    <w:p w14:paraId="55E33CE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履约保证金应当在中标人履行项目投资协议后三十日内予以退还。其他形式的履约担保，应当在中标人履行项目投资协议后三十日内予以撤销。</w:t>
      </w:r>
    </w:p>
    <w:p w14:paraId="3A56B0E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xml:space="preserve"> 招标人和中标人应当自中标通知书发出之日起三十个工作日内按照招标文件和中标人的投标文件订立书面投资协议。投资协议应包括以下内容：</w:t>
      </w:r>
    </w:p>
    <w:p w14:paraId="00126CA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（一）招标人与中标人的权利义务；</w:t>
      </w:r>
    </w:p>
    <w:p w14:paraId="761DE30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（二）履约担保的有关要求；</w:t>
      </w:r>
    </w:p>
    <w:p w14:paraId="3A2C651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（三）违约责任；</w:t>
      </w:r>
    </w:p>
    <w:p w14:paraId="73656ED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（四）免责事由；</w:t>
      </w:r>
    </w:p>
    <w:p w14:paraId="766E4D1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（五）争议的解决方式；</w:t>
      </w:r>
    </w:p>
    <w:p w14:paraId="55F498F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（六）双方认为应当规定的其他事项。</w:t>
      </w:r>
    </w:p>
    <w:p w14:paraId="1E98AA1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招标人应当在与中标人签订投资协议后五个工作日内向所有投标人退回投标担保。</w:t>
      </w:r>
    </w:p>
    <w:p w14:paraId="33E9FA52">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xml:space="preserve"> 中标人应在签订项目投资协议后九十日内到工商行政管理部门办理项目法人的工商登记手续，完成项目法人组建。</w:t>
      </w:r>
    </w:p>
    <w:p w14:paraId="2897CC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xml:space="preserve"> 招标人与项目法人应当在完成项目核准手续后签订项目特许权协议。特许权协议应当参照国务院交通主管部门制定的特许权协议示范文本并结合项目的特点和需要制定。特许权协议应当包括以下内容：</w:t>
      </w:r>
    </w:p>
    <w:p w14:paraId="3D04328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（一）特许权的内容及期限；</w:t>
      </w:r>
    </w:p>
    <w:p w14:paraId="369C47D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（二）双方的权利及义务；</w:t>
      </w:r>
    </w:p>
    <w:p w14:paraId="14F9ADE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（三）项目建设要求；</w:t>
      </w:r>
    </w:p>
    <w:p w14:paraId="662542E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（四）项目运营管理要求；</w:t>
      </w:r>
    </w:p>
    <w:p w14:paraId="0D446A9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（五）有关担保要求；</w:t>
      </w:r>
    </w:p>
    <w:p w14:paraId="6C47990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（六）特许权益转让要求；</w:t>
      </w:r>
    </w:p>
    <w:p w14:paraId="7A35219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（七）违约责任；</w:t>
      </w:r>
    </w:p>
    <w:p w14:paraId="0DC57B9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（八）协议的终止；</w:t>
      </w:r>
    </w:p>
    <w:p w14:paraId="4E6ED8F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（九）争议的解决；</w:t>
      </w:r>
    </w:p>
    <w:p w14:paraId="6715695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（十）双方认为应规定的其他事项。</w:t>
      </w:r>
    </w:p>
    <w:p w14:paraId="62E0D060">
      <w:pPr>
        <w:ind w:firstLine="640" w:firstLineChars="200"/>
        <w:rPr>
          <w:rFonts w:ascii="仿宋_GB2312" w:hAnsi="仿宋_GB2312" w:eastAsia="黑体" w:cs="仿宋_GB2312"/>
          <w:color w:val="333333"/>
          <w:sz w:val="32"/>
          <w:szCs w:val="32"/>
          <w:shd w:val="clear" w:color="auto" w:fill="FFFFFF"/>
        </w:rPr>
      </w:pPr>
    </w:p>
    <w:p w14:paraId="485313A2">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附则</w:t>
      </w:r>
    </w:p>
    <w:p w14:paraId="47529E2A">
      <w:pPr>
        <w:ind w:firstLine="640" w:firstLineChars="200"/>
        <w:rPr>
          <w:rFonts w:ascii="仿宋_GB2312" w:hAnsi="仿宋_GB2312" w:eastAsia="黑体" w:cs="仿宋_GB2312"/>
          <w:color w:val="333333"/>
          <w:sz w:val="32"/>
          <w:szCs w:val="32"/>
          <w:shd w:val="clear" w:color="auto" w:fill="FFFFFF"/>
        </w:rPr>
      </w:pPr>
    </w:p>
    <w:p w14:paraId="5837F14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xml:space="preserve"> 对招投标活动中的违法行为，应当按照国家有关法律、法规的规定予以处罚。</w:t>
      </w:r>
    </w:p>
    <w:p w14:paraId="25841B5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xml:space="preserve"> 招标人违反本办法规定，以不合理的条件限制或者排斥潜在投标人，对潜在投标人实行歧视待遇的，由上级交通主管部门责令改正。</w:t>
      </w:r>
    </w:p>
    <w:p w14:paraId="5632E20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xml:space="preserve"> 本规定自2008年1月1日起施行。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5787">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1CE1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F61CE1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072CED4">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14:paraId="5E2A971A">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FCCA">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F37531B">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A5750"/>
    <w:rsid w:val="003B73AF"/>
    <w:rsid w:val="003E2AD2"/>
    <w:rsid w:val="004E4ACB"/>
    <w:rsid w:val="00537455"/>
    <w:rsid w:val="006E4DFB"/>
    <w:rsid w:val="00807078"/>
    <w:rsid w:val="008F6601"/>
    <w:rsid w:val="009C051C"/>
    <w:rsid w:val="009E4951"/>
    <w:rsid w:val="00A77CC2"/>
    <w:rsid w:val="00A864E4"/>
    <w:rsid w:val="00AD5E28"/>
    <w:rsid w:val="00C9075E"/>
    <w:rsid w:val="00CF0394"/>
    <w:rsid w:val="00E30D94"/>
    <w:rsid w:val="00E941A8"/>
    <w:rsid w:val="00ED212B"/>
    <w:rsid w:val="019E71BD"/>
    <w:rsid w:val="04B679C3"/>
    <w:rsid w:val="080F63D8"/>
    <w:rsid w:val="09341458"/>
    <w:rsid w:val="0B0912D7"/>
    <w:rsid w:val="152D2DCA"/>
    <w:rsid w:val="1DEC284C"/>
    <w:rsid w:val="1E6523AC"/>
    <w:rsid w:val="22440422"/>
    <w:rsid w:val="2CE878DF"/>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1904</Words>
  <Characters>1913</Characters>
  <Lines>35</Lines>
  <Paragraphs>10</Paragraphs>
  <TotalTime>1</TotalTime>
  <ScaleCrop>false</ScaleCrop>
  <LinksUpToDate>false</LinksUpToDate>
  <CharactersWithSpaces>1932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2021-12-20T02:44:00Z</dcterms:created>
  <dc:creator>t</dc:creator>
  <cp:lastModifiedBy>咩咩_羊毛℡</cp:lastModifiedBy>
  <cp:lastPrinted>2021-10-26T03:30:00Z</cp:lastPrinted>
  <dcterms:modified xsi:type="dcterms:W3CDTF">2025-12-11T12:15:15Z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93926A7C75E24E94B6C35D5E23139C39_13</vt:lpwstr>
  </property>
</Properties>
</file>